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C41AD1">
              <w:rPr>
                <w:b/>
                <w:bCs/>
                <w:sz w:val="28"/>
                <w:szCs w:val="28"/>
              </w:rPr>
              <w:t xml:space="preserve">ny i Evropou – </w:t>
            </w:r>
            <w:r w:rsidR="00C41AD1" w:rsidRPr="00CB60DA">
              <w:rPr>
                <w:b/>
                <w:bCs/>
                <w:sz w:val="28"/>
                <w:szCs w:val="28"/>
              </w:rPr>
              <w:t>I</w:t>
            </w:r>
            <w:r w:rsidR="00CB60DA" w:rsidRPr="00CB60DA">
              <w:rPr>
                <w:b/>
                <w:bCs/>
                <w:sz w:val="28"/>
                <w:szCs w:val="28"/>
              </w:rPr>
              <w:t>I</w:t>
            </w:r>
            <w:r w:rsidR="0093607A" w:rsidRPr="00CB60DA">
              <w:rPr>
                <w:b/>
                <w:bCs/>
                <w:sz w:val="28"/>
                <w:szCs w:val="28"/>
              </w:rPr>
              <w:t>I</w:t>
            </w:r>
            <w:r w:rsidR="00C41AD1" w:rsidRPr="00CB60DA">
              <w:rPr>
                <w:b/>
                <w:bCs/>
                <w:sz w:val="28"/>
                <w:szCs w:val="28"/>
              </w:rPr>
              <w:t>. etapa</w:t>
            </w:r>
            <w:r w:rsidR="00C41AD1">
              <w:rPr>
                <w:b/>
                <w:bCs/>
                <w:sz w:val="28"/>
                <w:szCs w:val="28"/>
              </w:rPr>
              <w:t xml:space="preserve"> – část B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A9206C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v posledních třech letech nenaplnil skutkovou podstatu jednání </w:t>
      </w:r>
      <w:proofErr w:type="spellStart"/>
      <w:r w:rsidRPr="005D0013">
        <w:rPr>
          <w:rFonts w:ascii="Times New Roman" w:hAnsi="Times New Roman"/>
          <w:szCs w:val="22"/>
        </w:rPr>
        <w:t>nekalé</w:t>
      </w:r>
      <w:proofErr w:type="spellEnd"/>
      <w:r w:rsidRPr="005D0013">
        <w:rPr>
          <w:rFonts w:ascii="Times New Roman" w:hAnsi="Times New Roman"/>
          <w:szCs w:val="22"/>
        </w:rPr>
        <w:t xml:space="preserve">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vůči jehož majetku neprobíhá nebo v posledních třech letech neproběhlo </w:t>
      </w:r>
      <w:proofErr w:type="spellStart"/>
      <w:r w:rsidRPr="005D0013">
        <w:rPr>
          <w:rFonts w:ascii="Times New Roman" w:hAnsi="Times New Roman"/>
          <w:szCs w:val="22"/>
        </w:rPr>
        <w:t>insolvenční</w:t>
      </w:r>
      <w:proofErr w:type="spellEnd"/>
      <w:r w:rsidRPr="005D0013">
        <w:rPr>
          <w:rFonts w:ascii="Times New Roman" w:hAnsi="Times New Roman"/>
          <w:szCs w:val="22"/>
        </w:rPr>
        <w:t xml:space="preserve"> řízení, v němž bylo vydáno rozhodnutí o úpadku nebo </w:t>
      </w:r>
      <w:proofErr w:type="spellStart"/>
      <w:r w:rsidRPr="005D0013">
        <w:rPr>
          <w:rFonts w:ascii="Times New Roman" w:hAnsi="Times New Roman"/>
          <w:szCs w:val="22"/>
        </w:rPr>
        <w:t>insolvenční</w:t>
      </w:r>
      <w:proofErr w:type="spellEnd"/>
      <w:r w:rsidRPr="005D0013">
        <w:rPr>
          <w:rFonts w:ascii="Times New Roman" w:hAnsi="Times New Roman"/>
          <w:szCs w:val="22"/>
        </w:rPr>
        <w:t xml:space="preserve"> návrh nebyl zamítnut proto, že majetek nepostačuje k úhradě nákladů </w:t>
      </w:r>
      <w:proofErr w:type="spellStart"/>
      <w:r w:rsidRPr="005D0013">
        <w:rPr>
          <w:rFonts w:ascii="Times New Roman" w:hAnsi="Times New Roman"/>
          <w:szCs w:val="22"/>
        </w:rPr>
        <w:t>insolvenčního</w:t>
      </w:r>
      <w:proofErr w:type="spellEnd"/>
      <w:r w:rsidRPr="005D0013">
        <w:rPr>
          <w:rFonts w:ascii="Times New Roman" w:hAnsi="Times New Roman"/>
          <w:szCs w:val="22"/>
        </w:rPr>
        <w:t xml:space="preserve">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514821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DE" w:rsidRDefault="000D61DE" w:rsidP="008E4AD5">
      <w:r>
        <w:separator/>
      </w:r>
    </w:p>
  </w:endnote>
  <w:endnote w:type="continuationSeparator" w:id="0">
    <w:p w:rsidR="000D61DE" w:rsidRDefault="000D61DE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047FA1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CB60DA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DE" w:rsidRDefault="000D61DE" w:rsidP="008E4AD5">
      <w:r>
        <w:separator/>
      </w:r>
    </w:p>
  </w:footnote>
  <w:footnote w:type="continuationSeparator" w:id="0">
    <w:p w:rsidR="000D61DE" w:rsidRDefault="000D61DE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21" w:rsidRDefault="00514821">
    <w:pPr>
      <w:pStyle w:val="Zhlav"/>
    </w:pPr>
    <w:r w:rsidRPr="00514821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1786D"/>
    <w:rsid w:val="00021686"/>
    <w:rsid w:val="00034638"/>
    <w:rsid w:val="00035BB2"/>
    <w:rsid w:val="00037E36"/>
    <w:rsid w:val="000405B0"/>
    <w:rsid w:val="00047FA1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1D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45B2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4821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664BE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607A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206C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DA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B2B8E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BBA42-C319-479B-B263-F2EEF8C3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18</cp:revision>
  <cp:lastPrinted>2012-03-30T11:12:00Z</cp:lastPrinted>
  <dcterms:created xsi:type="dcterms:W3CDTF">2016-03-19T15:00:00Z</dcterms:created>
  <dcterms:modified xsi:type="dcterms:W3CDTF">2016-08-23T07:43:00Z</dcterms:modified>
</cp:coreProperties>
</file>